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F4" w:rsidRDefault="006A28F4" w:rsidP="006A28F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</w:p>
    <w:p w:rsidR="006A28F4" w:rsidRDefault="006A28F4" w:rsidP="00341E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077"/>
        <w:gridCol w:w="1611"/>
        <w:gridCol w:w="3882"/>
      </w:tblGrid>
      <w:tr w:rsidR="006A28F4" w:rsidTr="006A28F4">
        <w:tc>
          <w:tcPr>
            <w:tcW w:w="4077" w:type="dxa"/>
          </w:tcPr>
          <w:p w:rsidR="006A28F4" w:rsidRPr="0089296A" w:rsidRDefault="006A28F4" w:rsidP="006A2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296A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89296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Ҡ</w:t>
            </w:r>
            <w:r w:rsidRPr="0089296A">
              <w:rPr>
                <w:rFonts w:ascii="Times New Roman" w:hAnsi="Times New Roman" w:cs="Times New Roman"/>
                <w:sz w:val="20"/>
                <w:szCs w:val="20"/>
              </w:rPr>
              <w:t>ОРТОСТАН РЕСПУБЛИКА</w:t>
            </w:r>
            <w:r w:rsidRPr="0089296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Һ</w:t>
            </w:r>
            <w:r w:rsidRPr="0089296A">
              <w:rPr>
                <w:rFonts w:ascii="Times New Roman" w:hAnsi="Times New Roman" w:cs="Times New Roman"/>
                <w:sz w:val="20"/>
                <w:szCs w:val="20"/>
              </w:rPr>
              <w:t>ЫНЫ</w:t>
            </w:r>
            <w:r w:rsidRPr="0089296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Ң Ҡ</w:t>
            </w:r>
            <w:r w:rsidRPr="0089296A">
              <w:rPr>
                <w:rFonts w:ascii="Times New Roman" w:hAnsi="Times New Roman" w:cs="Times New Roman"/>
                <w:sz w:val="20"/>
                <w:szCs w:val="20"/>
              </w:rPr>
              <w:t>АЛТАСЫ РАЙОНЫ</w:t>
            </w:r>
          </w:p>
          <w:p w:rsidR="006A28F4" w:rsidRPr="0089296A" w:rsidRDefault="006A28F4" w:rsidP="006A2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9296A">
              <w:rPr>
                <w:rFonts w:ascii="Times New Roman" w:hAnsi="Times New Roman" w:cs="Times New Roman"/>
                <w:sz w:val="20"/>
                <w:szCs w:val="20"/>
              </w:rPr>
              <w:t>МУНИЦИПАЛЬ РАЙОНЫНЫ</w:t>
            </w:r>
            <w:r w:rsidRPr="0089296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Ң</w:t>
            </w:r>
          </w:p>
          <w:p w:rsidR="006A28F4" w:rsidRPr="0089296A" w:rsidRDefault="006A28F4" w:rsidP="006A2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9296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ИҪКЕ ЙӘШ АУЫЛ СОВЕТЫ</w:t>
            </w:r>
          </w:p>
          <w:p w:rsidR="006A28F4" w:rsidRPr="0089296A" w:rsidRDefault="006A28F4" w:rsidP="006A2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9296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 БИЛӘМӘҺЕ СОВЕТЫ</w:t>
            </w:r>
          </w:p>
          <w:p w:rsidR="006A28F4" w:rsidRPr="0089296A" w:rsidRDefault="006A28F4" w:rsidP="006A2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hideMark/>
          </w:tcPr>
          <w:p w:rsidR="006A28F4" w:rsidRPr="0089296A" w:rsidRDefault="006A28F4" w:rsidP="006A2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6A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6" o:title=""/>
                </v:shape>
                <o:OLEObject Type="Embed" ProgID="Word.Picture.8" ShapeID="_x0000_i1025" DrawAspect="Content" ObjectID="_1622451665" r:id="rId7"/>
              </w:object>
            </w:r>
          </w:p>
        </w:tc>
        <w:tc>
          <w:tcPr>
            <w:tcW w:w="3882" w:type="dxa"/>
            <w:hideMark/>
          </w:tcPr>
          <w:p w:rsidR="006A28F4" w:rsidRPr="0089296A" w:rsidRDefault="006A28F4" w:rsidP="006A2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96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СТАРОЯШЕВСКИЙ СЕЛЬСОВЕТ</w:t>
            </w:r>
          </w:p>
          <w:p w:rsidR="006A28F4" w:rsidRPr="0089296A" w:rsidRDefault="006A28F4" w:rsidP="006A2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6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6A28F4" w:rsidRPr="0089296A" w:rsidRDefault="006A28F4" w:rsidP="006A2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6A">
              <w:rPr>
                <w:rFonts w:ascii="Times New Roman" w:hAnsi="Times New Roman" w:cs="Times New Roman"/>
                <w:sz w:val="20"/>
                <w:szCs w:val="20"/>
              </w:rPr>
              <w:t>КАЛТАСИНСКИЙ РАЙОН</w:t>
            </w:r>
          </w:p>
          <w:p w:rsidR="006A28F4" w:rsidRPr="0089296A" w:rsidRDefault="006A28F4" w:rsidP="006A2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6A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</w:tbl>
    <w:p w:rsidR="006A28F4" w:rsidRPr="006A28F4" w:rsidRDefault="006A28F4" w:rsidP="006A28F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</w:t>
      </w:r>
    </w:p>
    <w:p w:rsidR="006A28F4" w:rsidRPr="006A28F4" w:rsidRDefault="006A28F4" w:rsidP="006A28F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6A28F4" w:rsidTr="006A28F4">
        <w:tc>
          <w:tcPr>
            <w:tcW w:w="4785" w:type="dxa"/>
            <w:hideMark/>
          </w:tcPr>
          <w:p w:rsidR="006A28F4" w:rsidRDefault="006A28F4" w:rsidP="006A2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264</w:t>
            </w:r>
          </w:p>
        </w:tc>
        <w:tc>
          <w:tcPr>
            <w:tcW w:w="4785" w:type="dxa"/>
            <w:hideMark/>
          </w:tcPr>
          <w:p w:rsidR="006A28F4" w:rsidRDefault="006A28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июня 2019 года</w:t>
            </w:r>
          </w:p>
        </w:tc>
      </w:tr>
    </w:tbl>
    <w:p w:rsidR="006A28F4" w:rsidRDefault="006A28F4" w:rsidP="006A28F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</w:p>
    <w:p w:rsidR="006A28F4" w:rsidRDefault="006A28F4" w:rsidP="00341E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</w:p>
    <w:p w:rsidR="00341EF0" w:rsidRPr="006A28F4" w:rsidRDefault="00341EF0" w:rsidP="006A28F4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 Порядке оформления прав пользования </w:t>
      </w:r>
      <w:r w:rsidR="007C1330"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муниципальным имуществом сельского поселения </w:t>
      </w:r>
      <w:r w:rsidR="003B0BFD"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Старояшевский</w:t>
      </w:r>
      <w:r w:rsidR="007C1330"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Республики Башкортостан и об определении годовой арендной платы за пользование </w:t>
      </w:r>
      <w:r w:rsidR="007C1330"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муниципальным</w:t>
      </w:r>
      <w:r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имуществом </w:t>
      </w:r>
      <w:r w:rsidR="007C1330"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Старояшевский</w:t>
      </w:r>
      <w:r w:rsidR="007C1330"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6A28F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Республики Башкортостан</w:t>
      </w:r>
    </w:p>
    <w:p w:rsidR="007C1330" w:rsidRPr="006A28F4" w:rsidRDefault="007C1330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EF0" w:rsidRPr="006A28F4" w:rsidRDefault="006A28F4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C133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целях совершенствования правового регулирования, повышения эффективности распоряжения муниципальным имуществом, находящимся на территории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7C133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Башкортостан, руководствуясь постановлением Правительства Республики Башкортостан от 29 декабря 2007 года </w:t>
      </w:r>
      <w:proofErr w:type="gramStart"/>
      <w:r w:rsidR="007C133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C1330" w:rsidRPr="006A28F4">
        <w:rPr>
          <w:rFonts w:ascii="Times New Roman" w:hAnsi="Times New Roman" w:cs="Times New Roman"/>
          <w:sz w:val="24"/>
          <w:szCs w:val="24"/>
          <w:lang w:eastAsia="ru-RU"/>
        </w:rPr>
        <w:t>в ред. Постановлений РБ от</w:t>
      </w:r>
      <w:r w:rsidR="00226682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12.05.2008 №148, от 01.09.2009 г. №334, от 16.12.2010 №486, от 20.09.2011 г. №329, от 05.08.2013 №357, от 23.10.2014 №479, от 07.05.2015 №152, от 05.05.2016 № 166,  от 14.07.2017 №329, от 06.12.2017 №577, от 27.08.2018 №405, от 05.09.2018 №426)Совет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3B4B9E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226682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Калтасинский район Республики Башкортостан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41EF0" w:rsidRPr="006A28F4" w:rsidRDefault="00341EF0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341EF0" w:rsidRPr="006A28F4" w:rsidRDefault="00341EF0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оформления прав пользования </w:t>
      </w:r>
      <w:r w:rsidR="00226682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="00226682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226682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Башкортостан;</w:t>
      </w:r>
    </w:p>
    <w:p w:rsidR="00341EF0" w:rsidRPr="006A28F4" w:rsidRDefault="00341EF0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Методику определения годовой арендной платы за пользование </w:t>
      </w:r>
      <w:r w:rsidR="00226682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="009E3B7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9E3B7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Башкортостан.</w:t>
      </w:r>
    </w:p>
    <w:p w:rsidR="00341EF0" w:rsidRPr="006A28F4" w:rsidRDefault="00226682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 Признать утратившими силу:</w:t>
      </w:r>
    </w:p>
    <w:p w:rsidR="00226682" w:rsidRPr="006A28F4" w:rsidRDefault="00226682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</w:t>
      </w:r>
      <w:r w:rsidR="009E3B7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A86C6B" w:rsidRPr="006A28F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C0CC7" w:rsidRPr="006A28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6C6B" w:rsidRPr="006A28F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C0CC7" w:rsidRPr="006A28F4">
        <w:rPr>
          <w:rFonts w:ascii="Times New Roman" w:hAnsi="Times New Roman" w:cs="Times New Roman"/>
          <w:sz w:val="24"/>
          <w:szCs w:val="24"/>
          <w:lang w:eastAsia="ru-RU"/>
        </w:rPr>
        <w:t>.2007 г. №</w:t>
      </w:r>
      <w:r w:rsidR="00A86C6B"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341EF0" w:rsidRDefault="00341EF0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7. Настоящее </w:t>
      </w:r>
      <w:r w:rsidR="00C015BC" w:rsidRPr="006A28F4">
        <w:rPr>
          <w:rFonts w:ascii="Times New Roman" w:hAnsi="Times New Roman" w:cs="Times New Roman"/>
          <w:sz w:val="24"/>
          <w:szCs w:val="24"/>
          <w:lang w:eastAsia="ru-RU"/>
        </w:rPr>
        <w:t>реш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ение вступает в силу с </w:t>
      </w:r>
      <w:r w:rsidR="009E3B7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момента принятия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 подлежит официальному опубликованию.</w:t>
      </w:r>
    </w:p>
    <w:p w:rsidR="006A28F4" w:rsidRDefault="006A28F4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568" w:rsidRPr="006A28F4" w:rsidRDefault="009E4568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8F4" w:rsidRDefault="009E4568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28F4" w:rsidRDefault="006A28F4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Старояшевский сельсовет</w:t>
      </w:r>
    </w:p>
    <w:p w:rsidR="00B20767" w:rsidRDefault="00B20767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</w:p>
    <w:p w:rsidR="00B20767" w:rsidRDefault="006A28F4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Калтасинский район</w:t>
      </w:r>
    </w:p>
    <w:p w:rsidR="00D55FE0" w:rsidRPr="00676CAB" w:rsidRDefault="00B20767" w:rsidP="006A28F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9E3B7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A28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="006A28F4">
        <w:rPr>
          <w:rFonts w:ascii="Times New Roman" w:hAnsi="Times New Roman" w:cs="Times New Roman"/>
          <w:sz w:val="24"/>
          <w:szCs w:val="24"/>
          <w:lang w:eastAsia="ru-RU"/>
        </w:rPr>
        <w:t>В.А.Апсаликов</w:t>
      </w:r>
      <w:proofErr w:type="spellEnd"/>
      <w:r w:rsidR="009E3B7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D55FE0" w:rsidRDefault="00D55FE0" w:rsidP="00341EF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6A28F4" w:rsidRDefault="006A28F4" w:rsidP="006A28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41EF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Утвержден</w:t>
      </w:r>
      <w:r w:rsidRPr="00341EF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Решением Совета сельского поселения</w:t>
      </w:r>
      <w:r w:rsidRPr="00341EF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sz w:val="24"/>
          <w:szCs w:val="24"/>
          <w:lang w:eastAsia="ru-RU"/>
        </w:rPr>
        <w:t>Старояшевский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сельсовет </w:t>
      </w:r>
    </w:p>
    <w:p w:rsidR="006A28F4" w:rsidRDefault="006A28F4" w:rsidP="006A28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муниципального района Калтасинский район</w:t>
      </w:r>
    </w:p>
    <w:p w:rsidR="00D55FE0" w:rsidRPr="006A28F4" w:rsidRDefault="006A28F4" w:rsidP="006A28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</w:t>
      </w:r>
      <w:r w:rsidRPr="00341EF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Республики Башкортостан</w:t>
      </w:r>
      <w:r w:rsidRPr="00341EF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«_</w:t>
      </w:r>
      <w:r w:rsidR="00676CA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19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_» _</w:t>
      </w:r>
      <w:r w:rsidR="00676CA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06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</w:t>
      </w:r>
      <w:r w:rsidRPr="00341EF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</w:t>
      </w:r>
      <w:r w:rsidR="00676CA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</w:t>
      </w:r>
      <w:r w:rsidRPr="00341EF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г. N </w:t>
      </w:r>
      <w:r w:rsidR="00676CA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264</w:t>
      </w:r>
    </w:p>
    <w:p w:rsidR="006A28F4" w:rsidRPr="006A28F4" w:rsidRDefault="00341EF0" w:rsidP="00341EF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Порядок </w:t>
      </w:r>
    </w:p>
    <w:p w:rsidR="00341EF0" w:rsidRPr="006A28F4" w:rsidRDefault="00341EF0" w:rsidP="00341EF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оформления прав пользования </w:t>
      </w:r>
      <w:r w:rsidR="003B4B9E"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муниципальным</w:t>
      </w:r>
      <w:r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имуществом</w:t>
      </w:r>
      <w:r w:rsidR="003B4B9E"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="003B0BFD"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Старояшевский</w:t>
      </w:r>
      <w:r w:rsidR="003B4B9E"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 муниципального района Калтасинский</w:t>
      </w:r>
      <w:r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Республики Башкортостан</w:t>
      </w:r>
    </w:p>
    <w:p w:rsidR="00341EF0" w:rsidRPr="006A28F4" w:rsidRDefault="00341EF0" w:rsidP="00341E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 Общие положения</w:t>
      </w:r>
    </w:p>
    <w:p w:rsidR="003B4B9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color w:val="2D2D2D"/>
          <w:spacing w:val="2"/>
          <w:sz w:val="24"/>
          <w:szCs w:val="24"/>
        </w:rPr>
        <w:t>1.1</w:t>
      </w:r>
      <w:r w:rsidRPr="006A28F4">
        <w:rPr>
          <w:rFonts w:ascii="Times New Roman" w:hAnsi="Times New Roman" w:cs="Times New Roman"/>
          <w:sz w:val="24"/>
          <w:szCs w:val="24"/>
        </w:rPr>
        <w:t xml:space="preserve">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(далее - муниципальное имущество), в случаях, предусмотренных законодательством.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1.2. К муниципальному имуществу относятся: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6F22BE" w:rsidRPr="006A28F4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6F22BE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6F22BE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6F22BE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6F22BE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6F22BE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6F22BE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(далее - Администрация), в пределах предоставленных полномочий, если иное не предусмотрено законодательством.</w:t>
      </w:r>
    </w:p>
    <w:p w:rsidR="006F22BE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proofErr w:type="gramStart"/>
      <w:r w:rsidRPr="006A28F4">
        <w:rPr>
          <w:rFonts w:ascii="Times New Roman" w:hAnsi="Times New Roman" w:cs="Times New Roman"/>
          <w:sz w:val="24"/>
          <w:szCs w:val="24"/>
        </w:rPr>
        <w:t>При рассмотрении вопроса о передаче государственного нежилого фонда для использования под административные цели по различным правовым основаниям</w:t>
      </w:r>
      <w:proofErr w:type="gramEnd"/>
      <w:r w:rsidRPr="006A28F4">
        <w:rPr>
          <w:rFonts w:ascii="Times New Roman" w:hAnsi="Times New Roman" w:cs="Times New Roman"/>
          <w:sz w:val="24"/>
          <w:szCs w:val="24"/>
        </w:rPr>
        <w:t xml:space="preserve"> применяется норматив площади в размере не более 6 кв. м на одного работника.</w:t>
      </w:r>
    </w:p>
    <w:p w:rsidR="006F22BE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28F4">
        <w:rPr>
          <w:rFonts w:ascii="Times New Roman" w:hAnsi="Times New Roman" w:cs="Times New Roman"/>
          <w:sz w:val="24"/>
          <w:szCs w:val="24"/>
        </w:rPr>
        <w:t xml:space="preserve"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 не по целевому назначению;  с нарушением установленного порядка использования либо без оформления права пользования </w:t>
      </w:r>
      <w:proofErr w:type="gramStart"/>
      <w:r w:rsidRPr="006A28F4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6A28F4">
        <w:rPr>
          <w:rFonts w:ascii="Times New Roman" w:hAnsi="Times New Roman" w:cs="Times New Roman"/>
          <w:sz w:val="24"/>
          <w:szCs w:val="24"/>
        </w:rPr>
        <w:t xml:space="preserve"> неуставных целях;</w:t>
      </w:r>
      <w:r w:rsidR="006A28F4">
        <w:rPr>
          <w:rFonts w:ascii="Times New Roman" w:hAnsi="Times New Roman" w:cs="Times New Roman"/>
          <w:sz w:val="24"/>
          <w:szCs w:val="24"/>
        </w:rPr>
        <w:t xml:space="preserve"> </w:t>
      </w:r>
      <w:r w:rsidRPr="006A28F4"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6A28F4" w:rsidRPr="006A28F4" w:rsidRDefault="006A28F4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41EF0" w:rsidRPr="006A28F4" w:rsidRDefault="006F22BE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Порядок оформления прав пользования </w:t>
      </w:r>
      <w:r w:rsidR="00FD273C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муниципальным 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имуществом</w:t>
      </w:r>
    </w:p>
    <w:p w:rsidR="00341EF0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.1. Оформление прав пользования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муниципальным имуществом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процедуру предоставления </w:t>
      </w:r>
      <w:r w:rsidR="00CC0CC7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государственного имущества, заключаемым: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1) по результатам проведения конкурсов или аукционов на право заключения этих договоров (далее - торги);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2) без проведения торгов.</w:t>
      </w:r>
    </w:p>
    <w:p w:rsidR="00341EF0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 предоставляется без проведения торгов в случаях, установленных статьей 17.1 </w:t>
      </w:r>
      <w:hyperlink r:id="rId8" w:history="1">
        <w:r w:rsidR="00341EF0" w:rsidRPr="006A28F4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"О защите конкуренции"</w:t>
        </w:r>
      </w:hyperlink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341EF0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.4. Передача в пользование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без проведения торгов осуществляется в следующем порядке:</w:t>
      </w:r>
    </w:p>
    <w:p w:rsidR="00341EF0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.4.1. Юридические и физические лица подают в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о передаче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пользование, которое регистрируется в установленном порядке.</w:t>
      </w:r>
    </w:p>
    <w:p w:rsidR="00341EF0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.4.2. Рассмотрение заявления о передаче без проведения торгов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производится в срок до одного месяца.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Заявителю отказывается в передаче государственного имущества без проведения торгов в пользование при наличии следующих оснований: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установленное законодательством ограничение по управлению и 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распоряжению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данным объектом </w:t>
      </w:r>
      <w:r w:rsidR="006F22BE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имущества;</w:t>
      </w:r>
    </w:p>
    <w:p w:rsidR="00341EF0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имеются неразрешенные судебные споры по поводу указанного в заявлении </w:t>
      </w:r>
      <w:r w:rsidR="006F22BE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не выполнены условия ранее заключенных договоров о передаче ему в пользование другого </w:t>
      </w:r>
      <w:r w:rsidR="006F22BE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течение трех и более месяцев подряд;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имеются факты расторжения с заявителем договоров о передаче ему в пользование другого </w:t>
      </w:r>
      <w:r w:rsidR="006F22BE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из-за нарушения заявителем условий данных договоров;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приостановлена деятельность заявителя в порядке, предусмотренном </w:t>
      </w:r>
      <w:hyperlink r:id="rId9" w:history="1">
        <w:r w:rsidRPr="006A28F4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A28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заявителем предоставлены заведомо ложные сведения, содержащиеся в представленных документах.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При отказе в передаче </w:t>
      </w:r>
      <w:r w:rsidR="006F22BE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341EF0" w:rsidRPr="006A28F4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.4.3. Решение о передаче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юридическим и физическим лицам и изменении условий пользования </w:t>
      </w:r>
      <w:r w:rsidR="00FD273C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принимается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работы Комиссии по рассмотрению заявок на право пользования </w:t>
      </w:r>
      <w:r w:rsidR="00FD273C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="00FD273C" w:rsidRPr="006A28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FD273C" w:rsidRPr="006A28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</w:t>
      </w:r>
      <w:proofErr w:type="spellStart"/>
      <w:r w:rsidR="00FD273C" w:rsidRPr="006A28F4">
        <w:rPr>
          <w:rFonts w:ascii="Times New Roman" w:hAnsi="Times New Roman" w:cs="Times New Roman"/>
          <w:sz w:val="24"/>
          <w:szCs w:val="24"/>
        </w:rPr>
        <w:t>район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Республики</w:t>
      </w:r>
      <w:proofErr w:type="spellEnd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Башкортостан (далее - Комиссия), созданной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 Положение о Комиссии, состав и порядок ее работы утверждаются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 Комиссия оформляет протокол, который утверждается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.5. По результатам торгов на право заключения договоров о передаче </w:t>
      </w:r>
      <w:r w:rsidR="00FD273C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или при положительном решении Комиссии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 договоры о передаче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</w:t>
      </w:r>
      <w:proofErr w:type="gramStart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доверительное управление;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безвозмездное пользование;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аренду и субаренду.</w:t>
      </w:r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.7. В договоре о передаче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или его части в соответствии с законодательством.</w:t>
      </w:r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принятия решения в соответствии с пунктом 3.6 настоящего Порядка пользователи </w:t>
      </w:r>
      <w:r w:rsidR="00FD273C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(в том числе юридические и физические лица, в ведении (на балансе) которых состояло </w:t>
      </w:r>
      <w:r w:rsidR="00FD273C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имущество), имеют право подать заявление в установленном порядке и заключить договоры о передаче им этого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(части имущества) в пользование в соответствии с законодательством и настоящим Порядком.</w:t>
      </w:r>
      <w:proofErr w:type="gramEnd"/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соответствии с законодательством и настоящим Порядком.</w:t>
      </w:r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.10.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в рамках </w:t>
      </w:r>
      <w:proofErr w:type="gramStart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договоров о передаче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пользование: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обследования и проверки использования </w:t>
      </w:r>
      <w:r w:rsidR="009510A9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требовать от проверяемых юридических и физических лиц необходимую документацию и информацию;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к проведению обследований и проверок использования </w:t>
      </w:r>
      <w:r w:rsidR="009510A9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.11. </w:t>
      </w:r>
      <w:proofErr w:type="gramStart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передаче в пользование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являющегося памятником истории, культуры и архитектуры, пользователем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 и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10" w:history="1">
        <w:r w:rsidR="00341EF0" w:rsidRPr="006A28F4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</w:t>
        </w:r>
      </w:hyperlink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.12. Передача в аренду (субаренду) третьим лицам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указанных договоров аренды (субаренды) </w:t>
      </w:r>
      <w:r w:rsidR="009510A9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с третьими лицами не может превышать срока действия основных договоров.</w:t>
      </w:r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.13. </w:t>
      </w:r>
      <w:proofErr w:type="gramStart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субъектов малого и среднего предпринимательства, в отношении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включенного в Перечень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бизнес-инкубаторами</w:t>
      </w:r>
      <w:r w:rsidR="009510A9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="009510A9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имущества в аренду (субаренду) субъектам малого и среднего предпринимательства не должен превышать трех лет.</w:t>
      </w:r>
    </w:p>
    <w:p w:rsidR="00341EF0" w:rsidRPr="006A28F4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.14. Изменение условий договора, указанных в документации о торгах, по результатам которых заключен договор, не допускается.</w:t>
      </w:r>
    </w:p>
    <w:p w:rsidR="00341EF0" w:rsidRPr="006A28F4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341EF0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пунктом </w:t>
      </w:r>
      <w:r w:rsidR="00281356"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.11 настоящего Порядка.</w:t>
      </w:r>
    </w:p>
    <w:p w:rsidR="006A28F4" w:rsidRPr="006A28F4" w:rsidRDefault="006A28F4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EF0" w:rsidRPr="006A28F4" w:rsidRDefault="009510A9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Особенности передачи </w:t>
      </w:r>
      <w:r w:rsidR="00FD273C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имущества в доверительное управление</w:t>
      </w:r>
    </w:p>
    <w:p w:rsidR="00341EF0" w:rsidRPr="006A28F4" w:rsidRDefault="009510A9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.1.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 передается в доверительное управление в соответствии с разделом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настоящего Порядка: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коммерческой (некоммерческой) организации (за исключением </w:t>
      </w:r>
      <w:r w:rsidR="009510A9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унитарного предприятия);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E4639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имущества, переданного в доверительное управление в соответствии с заключенным договором.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Передача </w:t>
      </w:r>
      <w:r w:rsidR="00E4639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выгодоприобретателя</w:t>
      </w:r>
      <w:proofErr w:type="spell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).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Учредителем доверительного управления является собственник </w:t>
      </w:r>
      <w:r w:rsidR="00E4639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имущества.</w:t>
      </w:r>
    </w:p>
    <w:p w:rsidR="00341EF0" w:rsidRPr="006A28F4" w:rsidRDefault="00E4639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.2.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ниципальное 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 не подлежит передаче в доверительное управление государственным органам и органам местного самоуправления.</w:t>
      </w:r>
    </w:p>
    <w:p w:rsidR="00341EF0" w:rsidRPr="006A28F4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.3. Функции учредителя доверительного управления или лица, определенного им (</w:t>
      </w:r>
      <w:proofErr w:type="spellStart"/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выгодоприобретателя</w:t>
      </w:r>
      <w:proofErr w:type="spellEnd"/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(далее - учредитель управления), осуществляет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Администрация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соответствии с настоящим Порядком.</w:t>
      </w:r>
    </w:p>
    <w:p w:rsidR="00341EF0" w:rsidRPr="006A28F4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.4. Передача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и изготовление технической документации на него.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Оплата расходов по оценке рыночной стоимости передаваемого в доверительное управление 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341EF0" w:rsidRPr="006A28F4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.5. </w:t>
      </w:r>
      <w:r w:rsidR="00FD273C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униципальное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341EF0" w:rsidRPr="006A28F4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.6. Для оформления договора доверительного управления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имуществом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Республики Башкортостан представляются заявление и следующие документы или их копии: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  <w:proofErr w:type="gram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</w:t>
      </w:r>
      <w:proofErr w:type="spell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6A28F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ж) перечень 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</w:t>
      </w:r>
      <w:r w:rsidR="00FD273C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FD273C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Башкортостан, предполагаемого к передаче в доверительное управление;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</w:t>
      </w:r>
      <w:proofErr w:type="spell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и) опись представляемых документов.</w:t>
      </w:r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Документы, указанные в подпунктах "а", "б", "г", "</w:t>
      </w:r>
      <w:proofErr w:type="spell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</w:t>
      </w:r>
      <w:proofErr w:type="spell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", "ж" - "и" настоящего пункта, представляются в 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Администрацию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заявителем самостоятельно.</w:t>
      </w:r>
      <w:proofErr w:type="gramEnd"/>
    </w:p>
    <w:p w:rsidR="00341EF0" w:rsidRPr="006A28F4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Документы, указанные в подпунктах "в", "е" настоящего пункта, запрашиваются 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Администрацией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341EF0" w:rsidRPr="006A28F4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.7. Сроки передачи государственного имущества в доверительное управление определяются договором о передаче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управление.</w:t>
      </w:r>
    </w:p>
    <w:p w:rsidR="00341EF0" w:rsidRPr="006A28F4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.8. Учредитель управления и доверительный управляющий оформляют договор о передаче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 по форме, утвержденной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Администрацией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а также перечень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имущества, являющийся неотъемлемой частью указанного договора.</w:t>
      </w:r>
    </w:p>
    <w:p w:rsidR="00341EF0" w:rsidRPr="006A28F4" w:rsidRDefault="008356B3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актом приема-передачи, являющимся неотъемлемой частью договора о передаче 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управление.</w:t>
      </w:r>
    </w:p>
    <w:p w:rsidR="00341EF0" w:rsidRPr="006A28F4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41EF0" w:rsidRPr="006A28F4" w:rsidRDefault="00FC307D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Особенности передачи </w:t>
      </w: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имущества в безвозмездное пользование</w:t>
      </w:r>
    </w:p>
    <w:p w:rsidR="00341EF0" w:rsidRPr="006A28F4" w:rsidRDefault="00FC307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.1. </w:t>
      </w:r>
      <w:r w:rsidR="00FD273C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униципальное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 передается в безвозмездное пользование в соответствии с разделом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настоящего Порядка: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муниципальным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имуществом для самостоятельного осуществления хозяйственной и иной деятельности (далее - ссудополучатель).</w:t>
      </w:r>
    </w:p>
    <w:p w:rsidR="00341EF0" w:rsidRPr="006A28F4" w:rsidRDefault="00FC307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.2. В безвозмездное пользование может быть передано следующее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муниципальное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имущество: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объекты инженерной инфраструктуры;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объекты </w:t>
      </w:r>
      <w:r w:rsidR="0017323A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нежилого фонда;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объекты </w:t>
      </w:r>
      <w:r w:rsidR="0017323A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жилищного фонда;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иное </w:t>
      </w:r>
      <w:r w:rsidR="0017323A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муниципальное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имущество.</w:t>
      </w:r>
    </w:p>
    <w:p w:rsidR="00341EF0" w:rsidRPr="006A28F4" w:rsidRDefault="00FC307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.3. Собственник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либо иные лица, уполномоченные собственником или законом, являются ссудодателями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имущества.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Функции ссудодателя на условиях безвозмездного пользования осуществляет 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Администрация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341EF0" w:rsidRPr="006A28F4" w:rsidRDefault="00FC307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.4. Передача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имущества.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Оплата расходов по оценке передаваемого в безвозмездное пользование </w:t>
      </w:r>
      <w:r w:rsidR="00FC307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осуществляется ссудополучателем.</w:t>
      </w:r>
    </w:p>
    <w:p w:rsidR="00341EF0" w:rsidRPr="006A28F4" w:rsidRDefault="00095FF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.5.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муниципальное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имущество, переданное в безвозмездное пользование, учитывается ссудополучателем на </w:t>
      </w:r>
      <w:proofErr w:type="spellStart"/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забалансовом</w:t>
      </w:r>
      <w:proofErr w:type="spellEnd"/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счете в соответствии с законодательством.</w:t>
      </w:r>
    </w:p>
    <w:p w:rsidR="00341EF0" w:rsidRPr="006A28F4" w:rsidRDefault="00095FF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.6. Для оформления договора безвозмездного пользования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муниципальным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имуществом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 представляются заявление и следующие документы или их копии: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  <w:proofErr w:type="gram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</w:t>
      </w:r>
      <w:proofErr w:type="spell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2" w:history="1">
        <w:r w:rsidRPr="006A28F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ж) перечень </w:t>
      </w:r>
      <w:r w:rsidR="00095FF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имущества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095FF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Республики Башкортостан, предполагаемого к передаче в безвозмездное пользование;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</w:t>
      </w:r>
      <w:proofErr w:type="spell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и) опись представляемых документов.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Документы, указанные в подпунктах "а", "б", "г", "</w:t>
      </w:r>
      <w:proofErr w:type="spell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</w:t>
      </w:r>
      <w:proofErr w:type="spell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", "ж" - "и" настоящего пункта, представляются в </w:t>
      </w:r>
      <w:r w:rsidR="00095FF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Администрацию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заявителем самостоятельно.</w:t>
      </w:r>
      <w:proofErr w:type="gramEnd"/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Документы, указанные в подпунктах "в", "е" настоящего пункта, запрашиваются </w:t>
      </w:r>
      <w:r w:rsidR="00095FF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Администрацией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341EF0" w:rsidRPr="006A28F4" w:rsidRDefault="00095FF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.7. Ссудодатель и ссудополучатель оформляют договор о передаче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безвозмездное пользование по форме, утвержденной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Администрацией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а также перечни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имущества, являющиеся неотъемлемой частью указанного договора.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Передача </w:t>
      </w:r>
      <w:r w:rsidR="00095FF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095FFD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безвозмездное пользование.</w:t>
      </w:r>
    </w:p>
    <w:p w:rsidR="00341EF0" w:rsidRPr="006A28F4" w:rsidRDefault="00095FF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41EF0" w:rsidRPr="006A28F4" w:rsidRDefault="008356B3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341EF0" w:rsidRPr="006A28F4" w:rsidRDefault="00095FFD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Особенности передачи </w:t>
      </w: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имущества в аренду</w:t>
      </w:r>
    </w:p>
    <w:p w:rsidR="00341EF0" w:rsidRPr="006A28F4" w:rsidRDefault="00095FF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 передается в аренду без права вы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купа в соответствии с разделом 2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341EF0" w:rsidRPr="006A28F4" w:rsidRDefault="00095FF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.2. Арендодателем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выступают: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от имени собственника - </w:t>
      </w:r>
      <w:r w:rsidR="00095FFD"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6A28F4" w:rsidRDefault="00FD273C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муниципальные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предприятия и учреждения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, владеющие </w:t>
      </w:r>
      <w:r w:rsidR="00095FFD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095FFD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аренду с </w:t>
      </w:r>
      <w:r w:rsidR="00095FFD"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1EF0" w:rsidRPr="006A28F4" w:rsidRDefault="00095FF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.3. В целях установления единого порядка управления и распоряжения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оформление и учет договоров аренды (субаренды) </w:t>
      </w:r>
      <w:proofErr w:type="spellStart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осуществляются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комитетом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по управлению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собственностью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Минземимуществ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РБ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по Калтасинскому району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6A28F4" w:rsidRDefault="00095FF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.4. Для оформления договора аренды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2B23E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2B23E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без права выкупа представляются заявление и следующие документы или их копии: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3" w:history="1">
        <w:r w:rsidRPr="006A28F4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A28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ж) перечень </w:t>
      </w:r>
      <w:r w:rsidR="002B23E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2B23E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Республики Башкортостан, предполагаемого к передаче в аренду;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и) опись представляемых документов.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подпунктах "а", "б", "г", "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", "ж" - "и" настоящего пункта, представляются в </w:t>
      </w:r>
      <w:r w:rsidR="002B23ED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заявителем самостоятельно.</w:t>
      </w:r>
      <w:proofErr w:type="gramEnd"/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указанные в подпунктах "в", "е" настоящего пункта, запрашиваются </w:t>
      </w:r>
      <w:r w:rsidR="002B23ED"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341EF0" w:rsidRPr="006A28F4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без согласования с юридическими лицами, в ведении (на балансе) которых находится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имущество, заключает договоры аренды в случаях, если передача объектов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341EF0" w:rsidRPr="006A28F4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.6. Сроки аренды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определяются договором аренды.</w:t>
      </w:r>
    </w:p>
    <w:p w:rsidR="002B23ED" w:rsidRPr="006A28F4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proofErr w:type="gramStart"/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годовой арендной платы за пользование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определяется в соответствии с отчетом независимого оценщика, произведенным согласно требованиям </w:t>
      </w:r>
      <w:hyperlink r:id="rId14" w:history="1">
        <w:r w:rsidR="00341EF0" w:rsidRPr="006A28F4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"Об оценочной деятельности в Российской Федерации"</w:t>
        </w:r>
      </w:hyperlink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, либо с Методикой определения годовой арендной платы за пользование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имуществом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Республики Башкортостан, утвержденной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Размеры арендной платы подлежат досрочному пересмотру в следующих случаях: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изменение коэффициентов расчета годовой арендной платы;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изменение состава арендованного имущества;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изменение разрешенного использования арендуемого объекта;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другие случаи, предусмотренные законодательством.</w:t>
      </w:r>
    </w:p>
    <w:p w:rsidR="00341EF0" w:rsidRPr="006A28F4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государственным имуществом, а устанавливаются и вносятся в порядке согласно законодательству.</w:t>
      </w:r>
    </w:p>
    <w:p w:rsidR="00341EF0" w:rsidRPr="006A28F4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, арендодатель и арендатор оформляют договор о передаче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имущества в аренду без права выкупа по форме, утвержденной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6A28F4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341EF0" w:rsidRPr="006A28F4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.11. При заключении с субъектами малого и среднего предпринимательства договоров аренды в отношении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6A28F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арендная плата вносится в следующем порядке: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в первый год аренды - 40 процентов от размера арендной платы (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0,4);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во второй год аренды - 60 процентов от размера арендной платы (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0,6);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в третий год аренды - 80 процентов от размера арендной платы (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0,8);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в четвертый год аренды и далее - 100 процентов от размера арендной платы (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1).</w:t>
      </w:r>
    </w:p>
    <w:p w:rsidR="00341EF0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Во всех иных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случаяхКн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1.</w:t>
      </w:r>
    </w:p>
    <w:p w:rsidR="006A28F4" w:rsidRPr="006A28F4" w:rsidRDefault="006A28F4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EF0" w:rsidRPr="006A28F4" w:rsidRDefault="00281356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Особенности передачи </w:t>
      </w:r>
      <w:r w:rsidR="00FD273C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имущества в субаренду</w:t>
      </w:r>
    </w:p>
    <w:p w:rsidR="00341EF0" w:rsidRPr="006A28F4" w:rsidRDefault="00281356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.1. Арендатор по согласованию с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Администрацией 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 юридическим лицом, в ведении (на балансе) которого находится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муниципальное 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341EF0" w:rsidRPr="006A28F4" w:rsidRDefault="00281356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Передача в субаренду </w:t>
      </w:r>
      <w:r w:rsidR="00281356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и оформление договоров субаренды </w:t>
      </w:r>
      <w:r w:rsidR="00281356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281356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имущества.</w:t>
      </w:r>
    </w:p>
    <w:p w:rsidR="00341EF0" w:rsidRPr="006A28F4" w:rsidRDefault="00281356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proofErr w:type="gramStart"/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утвержденной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Администрацией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и карточка учета должны быть представлены заявителем в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комитет по управлению собственностью </w:t>
      </w:r>
      <w:proofErr w:type="spell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Минземимущества</w:t>
      </w:r>
      <w:proofErr w:type="spell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РБ по Калтасинскому району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341EF0" w:rsidRPr="006A28F4" w:rsidRDefault="00281356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Передача в субаренду третьим лицам арендуемого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имущества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Республики Башкортостан без проведения торгов возможна лицом, которому права владения и (или) пользования в отношении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предоставлены в следующих случаях: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 результатам проведения торгов;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если такие торги признаны несостоявшимися;</w:t>
      </w:r>
    </w:p>
    <w:p w:rsidR="00341EF0" w:rsidRPr="006A28F4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основании государственного контракта или на основании пункта 1 части 1 статьи 17.1 </w:t>
      </w:r>
      <w:hyperlink r:id="rId15" w:history="1">
        <w:r w:rsidRPr="006A28F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"О защите конкуренции"</w:t>
        </w:r>
      </w:hyperlink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341EF0" w:rsidRPr="006A28F4" w:rsidRDefault="00CF2D37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6.5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Арендная плата за субаренду </w:t>
      </w:r>
      <w:r w:rsidR="00281356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341EF0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  <w:proofErr w:type="gramEnd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если получателем арендных платежей по договору аренды является </w:t>
      </w:r>
      <w:r w:rsidR="00281356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Сельское поселение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281356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разница арендной платы по договору субаренды перечисляется в бюджет </w:t>
      </w:r>
      <w:r w:rsidR="00FA4CD2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FA4CD2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Башкортостан.</w:t>
      </w:r>
    </w:p>
    <w:p w:rsidR="006A28F4" w:rsidRDefault="006A28F4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A28F4" w:rsidRDefault="006A28F4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A28F4" w:rsidRDefault="006A28F4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A28F4" w:rsidRDefault="006A28F4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A28F4" w:rsidRDefault="006A28F4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A28F4" w:rsidRDefault="006A28F4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A28F4" w:rsidRDefault="006A28F4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A28F4" w:rsidRDefault="006A28F4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A28F4" w:rsidRPr="006A28F4" w:rsidRDefault="006A28F4" w:rsidP="006A28F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A28F4" w:rsidRPr="006A28F4" w:rsidRDefault="006A28F4" w:rsidP="006A28F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Решением Совета сельского</w:t>
      </w:r>
    </w:p>
    <w:p w:rsidR="006A28F4" w:rsidRPr="006A28F4" w:rsidRDefault="006A28F4" w:rsidP="006A28F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Старояшевскийсельсовет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6A28F4" w:rsidRPr="006A28F4" w:rsidRDefault="006A28F4" w:rsidP="006A28F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Калтасинский </w:t>
      </w:r>
    </w:p>
    <w:p w:rsidR="006A28F4" w:rsidRPr="006A28F4" w:rsidRDefault="006A28F4" w:rsidP="006A28F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район Республики Башкортостан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br/>
        <w:t>от ________________2019 г. N ____</w:t>
      </w:r>
    </w:p>
    <w:p w:rsidR="006A28F4" w:rsidRPr="006A28F4" w:rsidRDefault="006A28F4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341EF0" w:rsidRPr="006A28F4" w:rsidRDefault="00341EF0" w:rsidP="008356B3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Методика определения годовой арендной платы за пользование </w:t>
      </w:r>
      <w:r w:rsidR="005023F5"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муниципальным имуществом сельского поселения </w:t>
      </w:r>
      <w:r w:rsidR="003B0BFD"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Старояшевский</w:t>
      </w:r>
      <w:r w:rsidR="005023F5"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Pr="006A2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имуществом Республики Башкортостан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EF0" w:rsidRPr="006A28F4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 Общие положения</w:t>
      </w:r>
    </w:p>
    <w:p w:rsidR="00341EF0" w:rsidRPr="006A28F4" w:rsidRDefault="00341EF0" w:rsidP="00E91481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1.1. </w:t>
      </w:r>
      <w:proofErr w:type="gramStart"/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Настоящая Методика регламентирует порядок определения годовой арендной платы за пользование </w:t>
      </w:r>
      <w:r w:rsidR="00073517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муниципальным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имуществом </w:t>
      </w:r>
      <w:r w:rsidR="00073517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сельского поселения </w:t>
      </w:r>
      <w:proofErr w:type="spellStart"/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073517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сельсовет</w:t>
      </w:r>
      <w:proofErr w:type="spellEnd"/>
      <w:r w:rsidR="00073517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муниципального района Калтасинский район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</w:t>
      </w:r>
      <w:r w:rsidR="00073517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муниципальным  имуществом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073517"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6A28F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Башкортостан.</w:t>
      </w:r>
      <w:proofErr w:type="gramEnd"/>
    </w:p>
    <w:p w:rsidR="00341EF0" w:rsidRPr="006A28F4" w:rsidRDefault="00341EF0" w:rsidP="00E914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341EF0" w:rsidRPr="006A28F4" w:rsidRDefault="00341EF0" w:rsidP="00E914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365.</w:t>
      </w:r>
    </w:p>
    <w:p w:rsidR="00341EF0" w:rsidRDefault="00341EF0" w:rsidP="00E914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6A28F4" w:rsidRPr="006A28F4" w:rsidRDefault="006A28F4" w:rsidP="00E914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8F4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2. Расчет годовой арендной платы за пользование объектами </w:t>
      </w:r>
    </w:p>
    <w:p w:rsidR="00341EF0" w:rsidRPr="006A28F4" w:rsidRDefault="00073517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="00341EF0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нежилого фонда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2.1. Размер годовой арендной платы за пользование объектами </w:t>
      </w:r>
      <w:r w:rsidR="0017323A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 рассчитывается по следующей формуле: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S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К1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К2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К3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К4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К5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К6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К7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К8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, где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</w:t>
      </w:r>
      <w:r w:rsidR="00073517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r w:rsidR="00073517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S - общая площадь арендуемого объекта </w:t>
      </w:r>
      <w:r w:rsidR="00073517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территориально-экономическую зону расположения арендуемого объекта государственного нежилого фонда*;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* Ставки земельных налогов по территориально-экономическим зонам муниципальных образований Республики Башкортостан приведены в  нормативных правовых актах представительных органов муниципальных образований  Республики Башкортостан.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разрешенного использования: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3,0 при использовании объектов </w:t>
      </w:r>
      <w:r w:rsidR="00073517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 под: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ломбарды;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игорные заведения;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б)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2,0 при использовании объектов </w:t>
      </w:r>
      <w:r w:rsidR="00073517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нежилого фонда под: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биржи;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пункты обмена валюты;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негосударственные пенсионные фонды;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осуществление посреднической деятельности;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рестораны;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бары;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коммерческие дискотеки, ночные клубы;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гостиницы;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выставки;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в)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1,5 при использовании объектов </w:t>
      </w:r>
      <w:r w:rsidR="00073517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для осуществления функций по управлению </w:t>
      </w:r>
      <w:r w:rsidR="00073517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унитарными предприятиями организациями, осуществляющими операции с ценными бумагами и валютой;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инвестиционными и аудиторскими организациями;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рекламными агентствами;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г)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1,2 при использовании объектов </w:t>
      </w:r>
      <w:r w:rsidR="00073517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сыскными и охранными бюро;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терминалами по хранению и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растаможиванию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грузов;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информационными агентствами;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экскурсионными и туристическими бюро;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организациями, осуществляющими операции с недвижимостью;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игровых автоматов без денежного выигрыша;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интернет-кафе и компьютерными клубами;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бильярдными клубами;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торговой, производственной деятельности;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фитнес-клубами</w:t>
      </w:r>
      <w:proofErr w:type="spellEnd"/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0,7 при использовании объектов </w:t>
      </w:r>
      <w:r w:rsidR="00073517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размещения терминалов по приему платежей;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обслуживания и ремонта транспортных средств;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ремонта и обслуживания оргтехники;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под стоматологию, лечебную косметологию;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страховыми компаниями;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ликвидационными комиссиями коммерческих банков;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прочих видов деятельности, не вошедших в настоящий перечень;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е)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0,5 при использовании объектов </w:t>
      </w:r>
      <w:r w:rsidR="000E1885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территориальными органами федеральных органов исполнительной власти;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некоммерческими организациями;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адвокатами и конторами адвокатов;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частнопрактикующими нотариусами;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юридическими консультациями;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негосударственными образовательными организациями, имеющими лицензию на 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информационно-вычислительными центрами;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ведения научно-исследовательских и проектных работ;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производства продуктов питания (при наличии разрешения органов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фермерскими хозяйствами;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ведения работ по строительству, ремонту и эксплуатации жилого и нежилого фонда;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организации общественного питания (столовые, кафе, закусочные);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размещения солярия, сауны, бани, парикмахерской;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предприятиями инвалидов;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фармацевтической (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аптечно-лекарственной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) деятельности;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ж)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0,3 при использовании объектов </w:t>
      </w:r>
      <w:r w:rsidR="000E1885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специализированными комиссионными магазинами;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видами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которых являются производство и продажа своей продукции;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предприятиями почтовой связи;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реализации периодической печатной продукции;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под гаражи;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для оказания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фотоуслуг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0,2 при использовании объектов </w:t>
      </w:r>
      <w:r w:rsidR="000E1885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спортивными и культурно-просветительными организациями;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религиозными организациями;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художественными салонами;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организациями средств массовой информации и книгоиздания;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магазинами оптики;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оказания медицинских лечебных услуг;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для производства товаров и услуг для инвалидов;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книжными магазинами государственных предприятий;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и)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0,07 при использовании объектов государственного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объединениями муниципальных образований Республики Башкортостан, созданными в форме ассоциаций;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0,05 при использовании сложной вещи культурного и спортивного назначения;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л)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0,01 при использовании объектов </w:t>
      </w:r>
      <w:r w:rsidR="000E1885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досуговую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с детьми и молодежью по месту жительства;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домами для престарелых, инвалидов и социально незащищенных слоев населения;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обществами и организациями инвалидов, ветеранов, партий, профсоюзов, благотворительных фондов;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государственными и муниципальными архивами, библиотеками, музеями;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творческими союзами Республики Башкортостан;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органами службы занятости населения;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фондами государственного обязательного медицинского страхования;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государственными и муниципальными учреждениями;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учреждениями академий наук;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торгово-промышленной палатой для осуществления уставной деятельности;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организациями, осуществляющими обслуживание социально незащищенных слоев населения;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субъектами малого и среднего предпринимательства в части аренды неиспользуемого </w:t>
      </w:r>
      <w:r w:rsidR="000E1885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К3 - коэффициент расположения арендуемого объекта государственного нежилого фонда в здании (строении):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К3 = 1,0 при расположении в надземной части здания (строения);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К3 = 0,8 при расположении в чердачном помещении (мансарде);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К3 = 0,7 при расположении в цокольном помещении;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К3 = 0,5 при расположении в подвальном помещении;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использования мест общего пользования арендуемого объекта </w:t>
      </w:r>
      <w:r w:rsidR="00E267D1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нежилого фонда (устанавливается равным 1,2);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К5 - коэффициент типа здания (строения) арендуемого объекта: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К5 = 0,04 - производственное или складское,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неотапливаемое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К5 = 0,06 - производственное или складское, отапливаемое;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К5 = 0,08 - прочие типы зданий (строений);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К5 = 0,09 - административное;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качества строительного материала: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1,5 - кирпичное здание (строение);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1,0 - железобетонное здание (строение);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0,8 - прочее;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инфляции (устанавливается равным 1,0);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К8 - коэффициент износа: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К8 = (100% - % износа) / 100%;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 (устанавливается равным </w:t>
      </w:r>
      <w:r w:rsidR="00E267D1" w:rsidRPr="006A28F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%, или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</w:t>
      </w:r>
      <w:r w:rsidR="00E267D1" w:rsidRPr="006A28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41EF0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p w:rsidR="006A28F4" w:rsidRPr="006A28F4" w:rsidRDefault="006A28F4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EF0" w:rsidRPr="006A28F4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3. Расчет годовой арендной платы за пользование </w:t>
      </w:r>
      <w:r w:rsidR="000E1885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муниципальным</w:t>
      </w: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имуществом и предприятием (имущественным комплексом)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пользование </w:t>
      </w:r>
      <w:r w:rsidR="00621683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и предприятием (имущественным комплексом) рассчитывается по следующей формуле: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+ НА + НС + ДФВ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(ОА - НДС))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(1 + Ср)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, где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территориально-экономическую зону расположения арендуемого объекта </w:t>
      </w:r>
      <w:r w:rsidR="00621683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фонда*.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В случаях, когда коэффициент К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&lt; 1, при расчете арендной платы принимается К1 = 1;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НА - нематериальные активы;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НС - незавершенное строительство;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ДФВ - долгосрочные финансовые вложения;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ОА - оборотные активы;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НДС - налог на добавленную стоимость по приобретенным ценностям;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3.2. Размер годовой арендной платы за пользование </w:t>
      </w:r>
      <w:r w:rsidR="00621683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БС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Квд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Ср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БС - балансовая стоимость арендованного </w:t>
      </w:r>
      <w:r w:rsidR="00621683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Квд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вида деятельности;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Квд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1,3 при использовании </w:t>
      </w:r>
      <w:r w:rsidR="00621683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для добычи нефти и газа;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341EF0" w:rsidRPr="006A28F4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p w:rsidR="00341EF0" w:rsidRPr="006A28F4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4. Расчет годовой арендной платы за пользование энергетическими объектами, инженерными коммуникациями и сооружениями, находящимися в </w:t>
      </w:r>
      <w:r w:rsidR="00621683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муниципальной собственности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, где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Алл - арендная плата;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процент отчисления (устанавливается равным 1%, или П = 0,01);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341EF0" w:rsidRDefault="006A28F4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</w:t>
      </w:r>
    </w:p>
    <w:p w:rsidR="006A28F4" w:rsidRPr="006A28F4" w:rsidRDefault="006A28F4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EF0" w:rsidRPr="006A28F4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5. Расчет почасовой арендной платы за пользование объектами </w:t>
      </w:r>
      <w:r w:rsidR="00621683"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Pr="006A28F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нежилого фонда для проведения выставок, концертов, ярмарок, презентаций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5.1. Размер почасовой арендной платы за пользование объектами </w:t>
      </w:r>
      <w:r w:rsidR="00621683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Алл =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/ (365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24)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S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КЧ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</w:t>
      </w:r>
      <w:r w:rsidR="0017323A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сельского поселения </w:t>
      </w:r>
      <w:r w:rsidR="003B0BFD" w:rsidRPr="006A28F4">
        <w:rPr>
          <w:rFonts w:ascii="Times New Roman" w:hAnsi="Times New Roman" w:cs="Times New Roman"/>
          <w:sz w:val="24"/>
          <w:szCs w:val="24"/>
          <w:lang w:eastAsia="ru-RU"/>
        </w:rPr>
        <w:t>Старояшевский</w:t>
      </w:r>
      <w:bookmarkStart w:id="0" w:name="_GoBack"/>
      <w:bookmarkEnd w:id="0"/>
      <w:r w:rsidR="0017323A"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365 - количество дней в году;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24 - количество часов в сутках;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S - общая площадь арендуемого объекта </w:t>
      </w:r>
      <w:r w:rsidR="00621683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КЧ - количество часов аренды;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категории пользователя: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0,01 при использовании объектов </w:t>
      </w:r>
      <w:r w:rsidR="00621683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государственными и муниципальными учреждениями;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0,5 при использовании объектов </w:t>
      </w:r>
      <w:r w:rsidR="00BF37B5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= 1,0 при использовании объектов </w:t>
      </w:r>
      <w:r w:rsidR="00BF37B5" w:rsidRPr="006A28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 прочими видами категорий пользователей, не вошедшими в настоящий перечень;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341EF0" w:rsidRPr="006A28F4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28F4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6A28F4"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sectPr w:rsidR="00341EF0" w:rsidRPr="006A28F4" w:rsidSect="006A28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119"/>
    <w:multiLevelType w:val="multilevel"/>
    <w:tmpl w:val="260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02B5E"/>
    <w:multiLevelType w:val="multilevel"/>
    <w:tmpl w:val="BBB8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A7A82"/>
    <w:multiLevelType w:val="multilevel"/>
    <w:tmpl w:val="465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564BA"/>
    <w:multiLevelType w:val="multilevel"/>
    <w:tmpl w:val="1C5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90B0D"/>
    <w:multiLevelType w:val="multilevel"/>
    <w:tmpl w:val="27F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B4"/>
    <w:rsid w:val="000438A4"/>
    <w:rsid w:val="00073517"/>
    <w:rsid w:val="00095FFD"/>
    <w:rsid w:val="000E1885"/>
    <w:rsid w:val="000F03B4"/>
    <w:rsid w:val="00136863"/>
    <w:rsid w:val="001662E6"/>
    <w:rsid w:val="0017323A"/>
    <w:rsid w:val="00226682"/>
    <w:rsid w:val="00281356"/>
    <w:rsid w:val="002B23ED"/>
    <w:rsid w:val="00341EF0"/>
    <w:rsid w:val="003B0BFD"/>
    <w:rsid w:val="003B4B9E"/>
    <w:rsid w:val="00485FD3"/>
    <w:rsid w:val="004F4483"/>
    <w:rsid w:val="005023F5"/>
    <w:rsid w:val="00621683"/>
    <w:rsid w:val="00645445"/>
    <w:rsid w:val="00652EC3"/>
    <w:rsid w:val="00676CAB"/>
    <w:rsid w:val="006A28F4"/>
    <w:rsid w:val="006F22BE"/>
    <w:rsid w:val="007C1330"/>
    <w:rsid w:val="007C3010"/>
    <w:rsid w:val="008356B3"/>
    <w:rsid w:val="0089296A"/>
    <w:rsid w:val="008A5C54"/>
    <w:rsid w:val="009510A9"/>
    <w:rsid w:val="009E3B7D"/>
    <w:rsid w:val="009E4568"/>
    <w:rsid w:val="00A401C1"/>
    <w:rsid w:val="00A80346"/>
    <w:rsid w:val="00A86C6B"/>
    <w:rsid w:val="00B20767"/>
    <w:rsid w:val="00BF37B5"/>
    <w:rsid w:val="00C015BC"/>
    <w:rsid w:val="00C02154"/>
    <w:rsid w:val="00CC0CC7"/>
    <w:rsid w:val="00CF2D37"/>
    <w:rsid w:val="00D55FE0"/>
    <w:rsid w:val="00DC1834"/>
    <w:rsid w:val="00E267D1"/>
    <w:rsid w:val="00E4639D"/>
    <w:rsid w:val="00E91481"/>
    <w:rsid w:val="00EA4C1F"/>
    <w:rsid w:val="00F42554"/>
    <w:rsid w:val="00FA4CD2"/>
    <w:rsid w:val="00FC307D"/>
    <w:rsid w:val="00FD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63"/>
  </w:style>
  <w:style w:type="paragraph" w:styleId="1">
    <w:name w:val="heading 1"/>
    <w:basedOn w:val="a"/>
    <w:link w:val="10"/>
    <w:uiPriority w:val="9"/>
    <w:qFormat/>
    <w:rsid w:val="0034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1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1EF0"/>
    <w:rPr>
      <w:color w:val="0000FF"/>
      <w:u w:val="single"/>
    </w:rPr>
  </w:style>
  <w:style w:type="paragraph" w:customStyle="1" w:styleId="copytitle">
    <w:name w:val="copytitle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EF0"/>
    <w:rPr>
      <w:b/>
      <w:bCs/>
    </w:rPr>
  </w:style>
  <w:style w:type="paragraph" w:customStyle="1" w:styleId="copyright">
    <w:name w:val="copyrigh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1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1EF0"/>
    <w:rPr>
      <w:color w:val="0000FF"/>
      <w:u w:val="single"/>
    </w:rPr>
  </w:style>
  <w:style w:type="paragraph" w:customStyle="1" w:styleId="copytitle">
    <w:name w:val="copytitle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EF0"/>
    <w:rPr>
      <w:b/>
      <w:bCs/>
    </w:rPr>
  </w:style>
  <w:style w:type="paragraph" w:customStyle="1" w:styleId="copyright">
    <w:name w:val="copyrigh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91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6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92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6785682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35329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11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80766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820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DCCC-A0E0-4FBC-8A3F-C36FB092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8148</Words>
  <Characters>46445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Г. Гильванов</dc:creator>
  <cp:lastModifiedBy>Selsovet</cp:lastModifiedBy>
  <cp:revision>12</cp:revision>
  <cp:lastPrinted>2019-06-19T07:11:00Z</cp:lastPrinted>
  <dcterms:created xsi:type="dcterms:W3CDTF">2019-06-18T10:54:00Z</dcterms:created>
  <dcterms:modified xsi:type="dcterms:W3CDTF">2019-06-19T07:15:00Z</dcterms:modified>
</cp:coreProperties>
</file>